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73516EEC" w:rsidR="00B123FF" w:rsidRPr="00455A3C" w:rsidRDefault="00EE2179" w:rsidP="00F60A53">
      <w:pPr>
        <w:pStyle w:val="F2-zkladn"/>
        <w:spacing w:line="276" w:lineRule="auto"/>
        <w:rPr>
          <w:b/>
          <w:sz w:val="28"/>
          <w:szCs w:val="28"/>
        </w:rPr>
      </w:pPr>
      <w:bookmarkStart w:id="0" w:name="_Hlk104376839"/>
      <w:bookmarkEnd w:id="0"/>
      <w:r>
        <w:rPr>
          <w:b/>
          <w:sz w:val="28"/>
          <w:szCs w:val="28"/>
        </w:rPr>
        <w:t>ANALÝZA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1AEAC51B"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743FE9">
        <w:t>2</w:t>
      </w:r>
      <w:r w:rsidR="00D8102F">
        <w:t>5</w:t>
      </w:r>
      <w:r w:rsidR="005420B4" w:rsidRPr="00893890">
        <w:t>.</w:t>
      </w:r>
      <w:r w:rsidR="004C7EA7">
        <w:t>září</w:t>
      </w:r>
      <w:r w:rsidR="00A30105" w:rsidRPr="00893890">
        <w:t xml:space="preserve"> 20</w:t>
      </w:r>
      <w:r w:rsidR="00A7414F" w:rsidRPr="00893890">
        <w:t>2</w:t>
      </w:r>
      <w:r w:rsidR="000F274E" w:rsidRPr="00893890">
        <w:t>3</w:t>
      </w:r>
    </w:p>
    <w:p w14:paraId="7EECF1EA" w14:textId="7E8D96CD" w:rsidR="002027ED" w:rsidRPr="002027ED" w:rsidRDefault="002027ED" w:rsidP="002027ED">
      <w:pPr>
        <w:pStyle w:val="F2-zkladn"/>
        <w:tabs>
          <w:tab w:val="right" w:pos="9070"/>
        </w:tabs>
        <w:spacing w:line="276" w:lineRule="auto"/>
      </w:pPr>
    </w:p>
    <w:p w14:paraId="1F405B0B" w14:textId="318E5123"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743FE9">
        <w:rPr>
          <w:rStyle w:val="normaltextrun"/>
          <w:rFonts w:ascii="Arial" w:hAnsi="Arial" w:cs="Arial"/>
          <w:b/>
          <w:bCs/>
          <w:color w:val="000000"/>
          <w:sz w:val="28"/>
          <w:szCs w:val="28"/>
          <w:lang w:val="cs-CZ"/>
        </w:rPr>
        <w:t>Budování většího BRICS</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5BD143B4" w:rsidR="00E76BE0" w:rsidRDefault="00743FE9"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 xml:space="preserve">Největší uskupení rozvíjejících se tržních ekonomik na světě </w:t>
      </w:r>
      <w:r w:rsidRPr="00743FE9">
        <w:rPr>
          <w:rFonts w:asciiTheme="minorHAnsi" w:eastAsiaTheme="minorHAnsi" w:hAnsiTheme="minorHAnsi" w:cstheme="minorBidi"/>
          <w:b/>
          <w:lang w:val="cs-CZ" w:eastAsia="en-US"/>
        </w:rPr>
        <w:t>–</w:t>
      </w:r>
      <w:r w:rsidRPr="00743FE9">
        <w:rPr>
          <w:rFonts w:ascii="Tahoma" w:eastAsiaTheme="minorHAnsi" w:hAnsi="Tahoma" w:cs="Tahoma"/>
          <w:b/>
          <w:lang w:val="cs-CZ" w:eastAsia="en-US"/>
        </w:rPr>
        <w:t>⁠</w:t>
      </w:r>
      <w:r w:rsidRPr="00743FE9">
        <w:rPr>
          <w:rFonts w:asciiTheme="minorHAnsi" w:eastAsiaTheme="minorHAnsi" w:hAnsiTheme="minorHAnsi" w:cstheme="minorBidi"/>
          <w:b/>
          <w:lang w:val="cs-CZ" w:eastAsia="en-US"/>
        </w:rPr>
        <w:t xml:space="preserve"> BRICS </w:t>
      </w:r>
      <w:r>
        <w:rPr>
          <w:rFonts w:asciiTheme="minorHAnsi" w:eastAsiaTheme="minorHAnsi" w:hAnsiTheme="minorHAnsi" w:cstheme="minorBidi"/>
          <w:b/>
          <w:lang w:val="cs-CZ" w:eastAsia="en-US"/>
        </w:rPr>
        <w:t xml:space="preserve">se rozrůstá o šest členů. S růstem přichází i touha po novém světovém řádu. Ovšem vzhledem k tomu, že jedna země </w:t>
      </w:r>
      <w:r w:rsidRPr="00743FE9">
        <w:rPr>
          <w:rFonts w:asciiTheme="minorHAnsi" w:eastAsiaTheme="minorHAnsi" w:hAnsiTheme="minorHAnsi" w:cstheme="minorBidi"/>
          <w:b/>
          <w:lang w:val="cs-CZ" w:eastAsia="en-US"/>
        </w:rPr>
        <w:t>–</w:t>
      </w:r>
      <w:r>
        <w:rPr>
          <w:rFonts w:asciiTheme="minorHAnsi" w:eastAsiaTheme="minorHAnsi" w:hAnsiTheme="minorHAnsi" w:cstheme="minorBidi"/>
          <w:b/>
          <w:lang w:val="cs-CZ" w:eastAsia="en-US"/>
        </w:rPr>
        <w:t xml:space="preserve"> Čína </w:t>
      </w:r>
      <w:r w:rsidRPr="00743FE9">
        <w:rPr>
          <w:rFonts w:asciiTheme="minorHAnsi" w:eastAsiaTheme="minorHAnsi" w:hAnsiTheme="minorHAnsi" w:cstheme="minorBidi"/>
          <w:b/>
          <w:lang w:val="cs-CZ" w:eastAsia="en-US"/>
        </w:rPr>
        <w:t>–</w:t>
      </w:r>
      <w:r>
        <w:rPr>
          <w:rFonts w:asciiTheme="minorHAnsi" w:eastAsiaTheme="minorHAnsi" w:hAnsiTheme="minorHAnsi" w:cstheme="minorBidi"/>
          <w:b/>
          <w:lang w:val="cs-CZ" w:eastAsia="en-US"/>
        </w:rPr>
        <w:t xml:space="preserve"> má i nadále mnohem větší ekonomickou váhu než všechny ostatní, se domníváme, že význam nadcházejícího rozšíření BRICS bude spíše diplomatický než ekonomický.</w:t>
      </w:r>
    </w:p>
    <w:p w14:paraId="417797DF" w14:textId="2D4EBF6D" w:rsidR="00743FE9" w:rsidRPr="00E76BE0" w:rsidRDefault="00743FE9" w:rsidP="00C82B5D">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p>
    <w:p w14:paraId="392621BD" w14:textId="1BBB2740" w:rsidR="00EE2179" w:rsidRDefault="00743FE9" w:rsidP="00EE2179">
      <w:pPr>
        <w:shd w:val="clear" w:color="auto" w:fill="FFFFFF"/>
        <w:spacing w:before="0" w:line="360" w:lineRule="atLeast"/>
        <w:rPr>
          <w:b/>
          <w:bCs/>
        </w:rPr>
      </w:pPr>
      <w:r>
        <w:rPr>
          <w:b/>
          <w:bCs/>
        </w:rPr>
        <w:t>Seznamte se s novým klubem</w:t>
      </w:r>
    </w:p>
    <w:p w14:paraId="485DB0DE" w14:textId="2AE6E780" w:rsidR="00743FE9" w:rsidRDefault="00743FE9" w:rsidP="00743FE9">
      <w:pPr>
        <w:pStyle w:val="F2-zkladn"/>
        <w:spacing w:line="276" w:lineRule="auto"/>
      </w:pPr>
      <w:r w:rsidRPr="00743FE9">
        <w:t xml:space="preserve">Málokterá ekonomická zkratka vydrží dlouho (vzpomínáte na CIVETS?). Ještě méně jich časem znovu nabývá na významu. BRICS, což je zkratka pro Brazílii, Rusko, Indii, Čínu a Jihoafrickou republiku, je zatím výjimkou. Skupina nedávno oznámila svůj záměr rozšířit své řady o Argentinu, Egypt, Etiopii, Írán, Saúdskou Arábii a Spojené arabské emiráty. Tato zpráva může naznačovat snahu skupiny o vytvoření nového hospodářského řádu, neboť společný podíl rozšířeného bloku na současném světovém HDP, který činí přibližně 30 %, se pomalu blíží zmenšujícímu se podílu G7 (43 %). Od roku 2001, kdy tehdejší ekonom </w:t>
      </w:r>
      <w:proofErr w:type="spellStart"/>
      <w:r w:rsidRPr="00743FE9">
        <w:t>Goldman</w:t>
      </w:r>
      <w:proofErr w:type="spellEnd"/>
      <w:r w:rsidRPr="00743FE9">
        <w:t xml:space="preserve"> </w:t>
      </w:r>
      <w:proofErr w:type="spellStart"/>
      <w:r w:rsidRPr="00743FE9">
        <w:t>Sachs</w:t>
      </w:r>
      <w:proofErr w:type="spellEnd"/>
      <w:r w:rsidRPr="00743FE9">
        <w:t xml:space="preserve"> Jim </w:t>
      </w:r>
      <w:proofErr w:type="spellStart"/>
      <w:r w:rsidRPr="00743FE9">
        <w:t>O'Neill</w:t>
      </w:r>
      <w:proofErr w:type="spellEnd"/>
      <w:r w:rsidRPr="00743FE9">
        <w:t xml:space="preserve"> poprvé vymyslel termín BRICS, přitom jeho podíl vyrostl na zhruba trojnásobek.</w:t>
      </w:r>
    </w:p>
    <w:p w14:paraId="2107353F" w14:textId="6D573A3C" w:rsidR="00743FE9" w:rsidRDefault="0089248A" w:rsidP="00743FE9">
      <w:pPr>
        <w:pStyle w:val="F2-zkladn"/>
        <w:rPr>
          <w:b/>
          <w:bCs/>
        </w:rPr>
      </w:pPr>
      <w:r w:rsidRPr="0089248A">
        <w:rPr>
          <w:noProof/>
        </w:rPr>
        <w:drawing>
          <wp:anchor distT="0" distB="0" distL="114300" distR="114300" simplePos="0" relativeHeight="251658240" behindDoc="0" locked="0" layoutInCell="1" allowOverlap="1" wp14:anchorId="3B4855CA" wp14:editId="27DDBEE8">
            <wp:simplePos x="0" y="0"/>
            <wp:positionH relativeFrom="page">
              <wp:posOffset>1120140</wp:posOffset>
            </wp:positionH>
            <wp:positionV relativeFrom="paragraph">
              <wp:posOffset>341630</wp:posOffset>
            </wp:positionV>
            <wp:extent cx="4419600" cy="3045212"/>
            <wp:effectExtent l="0" t="0" r="0" b="3175"/>
            <wp:wrapNone/>
            <wp:docPr id="160221803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218033" name=""/>
                    <pic:cNvPicPr/>
                  </pic:nvPicPr>
                  <pic:blipFill>
                    <a:blip r:embed="rId12">
                      <a:extLst>
                        <a:ext uri="{28A0092B-C50C-407E-A947-70E740481C1C}">
                          <a14:useLocalDpi xmlns:a14="http://schemas.microsoft.com/office/drawing/2010/main" val="0"/>
                        </a:ext>
                      </a:extLst>
                    </a:blip>
                    <a:stretch>
                      <a:fillRect/>
                    </a:stretch>
                  </pic:blipFill>
                  <pic:spPr>
                    <a:xfrm>
                      <a:off x="0" y="0"/>
                      <a:ext cx="4434090" cy="3055196"/>
                    </a:xfrm>
                    <a:prstGeom prst="rect">
                      <a:avLst/>
                    </a:prstGeom>
                  </pic:spPr>
                </pic:pic>
              </a:graphicData>
            </a:graphic>
            <wp14:sizeRelH relativeFrom="page">
              <wp14:pctWidth>0</wp14:pctWidth>
            </wp14:sizeRelH>
            <wp14:sizeRelV relativeFrom="page">
              <wp14:pctHeight>0</wp14:pctHeight>
            </wp14:sizeRelV>
          </wp:anchor>
        </w:drawing>
      </w:r>
      <w:r w:rsidR="00743FE9">
        <w:rPr>
          <w:b/>
          <w:bCs/>
        </w:rPr>
        <w:t>Graf: Podíl současných a budoucích členů BRICS na světovém HDP</w:t>
      </w:r>
    </w:p>
    <w:p w14:paraId="26E1E8FE" w14:textId="2BFADA39" w:rsidR="00743FE9" w:rsidRPr="00743FE9" w:rsidRDefault="00743FE9" w:rsidP="00743FE9">
      <w:pPr>
        <w:pStyle w:val="F2-zkladn"/>
      </w:pPr>
    </w:p>
    <w:p w14:paraId="136788E3" w14:textId="77777777" w:rsidR="0089248A" w:rsidRDefault="0089248A" w:rsidP="004C1341">
      <w:pPr>
        <w:spacing w:after="210" w:line="276" w:lineRule="auto"/>
        <w:rPr>
          <w:color w:val="20242B"/>
        </w:rPr>
      </w:pPr>
    </w:p>
    <w:p w14:paraId="0C9542C8" w14:textId="77777777" w:rsidR="0089248A" w:rsidRDefault="0089248A" w:rsidP="004C1341">
      <w:pPr>
        <w:spacing w:after="210" w:line="276" w:lineRule="auto"/>
        <w:rPr>
          <w:color w:val="20242B"/>
        </w:rPr>
      </w:pPr>
    </w:p>
    <w:p w14:paraId="1E84095B" w14:textId="056D4663" w:rsidR="0089248A" w:rsidRDefault="0089248A" w:rsidP="004C1341">
      <w:pPr>
        <w:spacing w:after="210" w:line="276" w:lineRule="auto"/>
        <w:rPr>
          <w:color w:val="20242B"/>
        </w:rPr>
      </w:pPr>
    </w:p>
    <w:p w14:paraId="38D09B69" w14:textId="77777777" w:rsidR="0089248A" w:rsidRDefault="0089248A" w:rsidP="004C1341">
      <w:pPr>
        <w:spacing w:after="210" w:line="276" w:lineRule="auto"/>
        <w:rPr>
          <w:color w:val="20242B"/>
        </w:rPr>
      </w:pPr>
    </w:p>
    <w:p w14:paraId="7245333F" w14:textId="77777777" w:rsidR="0089248A" w:rsidRDefault="0089248A" w:rsidP="004C1341">
      <w:pPr>
        <w:spacing w:after="210" w:line="276" w:lineRule="auto"/>
        <w:rPr>
          <w:color w:val="20242B"/>
        </w:rPr>
      </w:pPr>
    </w:p>
    <w:p w14:paraId="2266C2A0" w14:textId="77777777" w:rsidR="0089248A" w:rsidRDefault="0089248A" w:rsidP="004C1341">
      <w:pPr>
        <w:spacing w:after="210" w:line="276" w:lineRule="auto"/>
        <w:rPr>
          <w:color w:val="20242B"/>
        </w:rPr>
      </w:pPr>
    </w:p>
    <w:p w14:paraId="09BC11B6" w14:textId="77777777" w:rsidR="0089248A" w:rsidRDefault="0089248A" w:rsidP="004C1341">
      <w:pPr>
        <w:spacing w:after="210" w:line="276" w:lineRule="auto"/>
        <w:rPr>
          <w:color w:val="20242B"/>
        </w:rPr>
      </w:pPr>
    </w:p>
    <w:p w14:paraId="15A43212" w14:textId="77777777" w:rsidR="0089248A" w:rsidRDefault="0089248A" w:rsidP="004C1341">
      <w:pPr>
        <w:spacing w:after="210" w:line="276" w:lineRule="auto"/>
        <w:rPr>
          <w:color w:val="20242B"/>
        </w:rPr>
      </w:pPr>
    </w:p>
    <w:p w14:paraId="419B2D37" w14:textId="2C01C37C" w:rsidR="0089248A" w:rsidRPr="0089248A" w:rsidRDefault="0089248A" w:rsidP="004C1341">
      <w:pPr>
        <w:spacing w:after="210" w:line="276" w:lineRule="auto"/>
        <w:rPr>
          <w:i/>
          <w:iCs/>
          <w:color w:val="20242B"/>
          <w:sz w:val="18"/>
          <w:szCs w:val="18"/>
        </w:rPr>
      </w:pPr>
      <w:r w:rsidRPr="0089248A">
        <w:rPr>
          <w:i/>
          <w:iCs/>
          <w:color w:val="20242B"/>
          <w:sz w:val="18"/>
          <w:szCs w:val="18"/>
        </w:rPr>
        <w:t xml:space="preserve">Poznámka: BRICS = Brazílie, Rusko, Indie, Čína a Jižní Afrika. Blok se snaží rozšířit o dalších šest zemí uvedených v tomto grafu. Zdroj: LSEG </w:t>
      </w:r>
      <w:proofErr w:type="spellStart"/>
      <w:r w:rsidRPr="0089248A">
        <w:rPr>
          <w:i/>
          <w:iCs/>
          <w:color w:val="20242B"/>
          <w:sz w:val="18"/>
          <w:szCs w:val="18"/>
        </w:rPr>
        <w:t>Datastream</w:t>
      </w:r>
      <w:proofErr w:type="spellEnd"/>
      <w:r w:rsidRPr="0089248A">
        <w:rPr>
          <w:i/>
          <w:iCs/>
          <w:color w:val="20242B"/>
          <w:sz w:val="18"/>
          <w:szCs w:val="18"/>
        </w:rPr>
        <w:t xml:space="preserve">, </w:t>
      </w:r>
      <w:proofErr w:type="spellStart"/>
      <w:r w:rsidRPr="0089248A">
        <w:rPr>
          <w:i/>
          <w:iCs/>
          <w:color w:val="20242B"/>
          <w:sz w:val="18"/>
          <w:szCs w:val="18"/>
        </w:rPr>
        <w:t>Fidelity</w:t>
      </w:r>
      <w:proofErr w:type="spellEnd"/>
      <w:r w:rsidRPr="0089248A">
        <w:rPr>
          <w:i/>
          <w:iCs/>
          <w:color w:val="20242B"/>
          <w:sz w:val="18"/>
          <w:szCs w:val="18"/>
        </w:rPr>
        <w:t xml:space="preserve"> International, září 2023.</w:t>
      </w:r>
    </w:p>
    <w:p w14:paraId="58F705E1" w14:textId="7FCF594C" w:rsidR="0089248A" w:rsidRDefault="0089248A" w:rsidP="0089248A">
      <w:pPr>
        <w:pStyle w:val="F2-zkladn"/>
        <w:rPr>
          <w:b/>
          <w:bCs/>
        </w:rPr>
      </w:pPr>
      <w:r>
        <w:rPr>
          <w:b/>
          <w:bCs/>
        </w:rPr>
        <w:lastRenderedPageBreak/>
        <w:t>Jako postaru</w:t>
      </w:r>
    </w:p>
    <w:p w14:paraId="76774475" w14:textId="7E330239" w:rsidR="0089248A" w:rsidRPr="0089248A" w:rsidRDefault="0089248A" w:rsidP="0089248A">
      <w:pPr>
        <w:spacing w:after="210" w:line="276" w:lineRule="auto"/>
      </w:pPr>
      <w:r w:rsidRPr="0089248A">
        <w:rPr>
          <w:i/>
          <w:iCs/>
        </w:rPr>
        <w:t>„Pohledem pod poličku zjistíme, že nový BRICS se velmi podobá tomu starému. Podíl Číny na světovém HDP ve výši 18 % (v roce 2001 to bylo pouhých 3,9 %) převyšuje všechny ostatní. Tento týden je v našem grafu zobrazen vývoj podílu zemí na světovém HDP v čase. Ukazuje, jak Indie (nyní 3,3 %), Brazílie (1,9 %) a Rusko (2,2 %) dosáhly v posledních dvou desetiletích jen velmi mírných přírůstků, zatímco Jihoafrická republika, která byla do skupiny přidána později, si svůj kousek světového produktu (0,4 %) pouze udržela. Všech šest nově pozvaných zemí by přineslo, za předpokladu, že se skutečně připojí, dohromady 4 % světového HDP. Členství Argentiny je nejisté, protože oba hlavní kandidáti říjnových prezidentských voleb jsou proti,“</w:t>
      </w:r>
      <w:r w:rsidRPr="0089248A">
        <w:t xml:space="preserve"> vysvětluje </w:t>
      </w:r>
      <w:r w:rsidR="00E63001">
        <w:t xml:space="preserve">Paul </w:t>
      </w:r>
      <w:proofErr w:type="spellStart"/>
      <w:r w:rsidR="00E63001">
        <w:t>Greer</w:t>
      </w:r>
      <w:proofErr w:type="spellEnd"/>
      <w:r w:rsidR="00E63001">
        <w:t xml:space="preserve">, portfolio manager </w:t>
      </w:r>
      <w:r w:rsidRPr="0089248A">
        <w:t>z </w:t>
      </w:r>
      <w:proofErr w:type="spellStart"/>
      <w:r w:rsidRPr="0089248A">
        <w:t>Fidelity</w:t>
      </w:r>
      <w:proofErr w:type="spellEnd"/>
      <w:r w:rsidRPr="0089248A">
        <w:t xml:space="preserve"> International.</w:t>
      </w:r>
    </w:p>
    <w:p w14:paraId="0A5B951C" w14:textId="08EB9AB9" w:rsidR="0089248A" w:rsidRDefault="0089248A" w:rsidP="0089248A">
      <w:pPr>
        <w:pStyle w:val="F2-zkladn"/>
        <w:rPr>
          <w:b/>
          <w:bCs/>
        </w:rPr>
      </w:pPr>
      <w:r>
        <w:rPr>
          <w:b/>
          <w:bCs/>
        </w:rPr>
        <w:t>Nenechme se napálit</w:t>
      </w:r>
    </w:p>
    <w:p w14:paraId="521E9F24" w14:textId="24329322" w:rsidR="0089248A" w:rsidRPr="0089248A" w:rsidRDefault="0089248A" w:rsidP="0089248A">
      <w:pPr>
        <w:shd w:val="clear" w:color="auto" w:fill="FFFFFF"/>
        <w:spacing w:line="276" w:lineRule="auto"/>
      </w:pPr>
      <w:r w:rsidRPr="0089248A">
        <w:t xml:space="preserve">Podle společného prohlášení ze srpnového summitu usilují státy BRICS rovněž o de-dolarizaci – jak mezi sebou, tak vůči svým obchodním partnerům. Zároveň chtějí prozkoumat nové možnosti přeshraničních platebních systémů nebo korespondenčních bankovních vztahů v rámci BRICS. Tyto věci se však hůře dělají, než říkají, vzhledem k tomu, že podle údajů Banky pro mezinárodní platby americký dolar tvoří 59 % světových rezerv a polovinu světového obchodu. Čínský </w:t>
      </w:r>
      <w:proofErr w:type="spellStart"/>
      <w:r w:rsidRPr="0089248A">
        <w:t>renminbi</w:t>
      </w:r>
      <w:proofErr w:type="spellEnd"/>
      <w:r w:rsidRPr="0089248A">
        <w:t xml:space="preserve"> je jedinou měnou BRICS s dostatečně velkým podílem na světových rezervách (2,6 %), aby jej Mezinárodní měnový fond vykazoval samostatně mimo "ostatní měny"; zbytek tvoří měny G7. Žádná z nich pravděpodobně neohrozí dominanci dolaru nejméně po dobu jedné generace. Nemluvě o tom, že podíl zemí BRICS na světovém obchodu, který činí 16 %, je méně než poloviční oproti podílu zemí G7 (33 %).</w:t>
      </w:r>
    </w:p>
    <w:p w14:paraId="36067E52" w14:textId="59833AFE" w:rsidR="0089248A" w:rsidRDefault="0089248A" w:rsidP="0089248A">
      <w:pPr>
        <w:pStyle w:val="F2-zkladn"/>
        <w:rPr>
          <w:b/>
          <w:bCs/>
        </w:rPr>
      </w:pPr>
      <w:r>
        <w:rPr>
          <w:b/>
          <w:bCs/>
        </w:rPr>
        <w:t>Moje generace</w:t>
      </w:r>
    </w:p>
    <w:p w14:paraId="5819EFEE" w14:textId="08081D28" w:rsidR="004C1341" w:rsidRPr="0089248A" w:rsidRDefault="0089248A" w:rsidP="0089248A">
      <w:pPr>
        <w:shd w:val="clear" w:color="auto" w:fill="FFFFFF"/>
        <w:spacing w:line="276" w:lineRule="auto"/>
      </w:pPr>
      <w:r w:rsidRPr="0089248A">
        <w:t xml:space="preserve">Nová skupina BRICS se může prosadit tím, že v otázkách mnohostranné diplomacie poskytne větší slovo "globálnímu Jihu". Podle údajů Světové banky je na tom však nejchudší země G7 (Japonsko) s výjimkou Spojených arabských emirátů v přepočtu HDP na obyvatele lépe než kterýkoli člen rozšířeného BRICS. Může se to zdát jako banalita, ale ekonomické a politické priority rozvojových zemí (jako je BRICS) a nejbohatších zemí (jako je G7) nejsou vždy v souladu. V poslední době se objevily velké rozdíly ve všech oblastech, od války na Ukrajině přes globální cíle v oblasti dekarbonizace až po zastoupení v Radě bezpečnosti OSN. Zatímco </w:t>
      </w:r>
      <w:proofErr w:type="spellStart"/>
      <w:r w:rsidRPr="0089248A">
        <w:t>O'Neill</w:t>
      </w:r>
      <w:proofErr w:type="spellEnd"/>
      <w:r w:rsidRPr="0089248A">
        <w:t xml:space="preserve"> původně považoval BRICS za ekonomický fenomén, dnes se stále více zdá, že ambice tohoto bloku přerůstají i na diplomatickou scénu.</w:t>
      </w:r>
    </w:p>
    <w:p w14:paraId="78DDBBAF" w14:textId="77777777" w:rsidR="00EE2381" w:rsidRDefault="00EE2381" w:rsidP="00627C23">
      <w:pPr>
        <w:spacing w:before="0" w:line="240" w:lineRule="atLeast"/>
        <w:rPr>
          <w:b/>
        </w:rPr>
      </w:pPr>
    </w:p>
    <w:p w14:paraId="4B4BC2FF" w14:textId="77777777" w:rsidR="00883B41" w:rsidRPr="00883B41" w:rsidRDefault="00883B41" w:rsidP="00883B41">
      <w:pPr>
        <w:pStyle w:val="F2-zkladn"/>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 xml:space="preserve">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w:t>
      </w:r>
      <w:r w:rsidRPr="00D404D5">
        <w:rPr>
          <w:color w:val="000000"/>
          <w:lang w:eastAsia="en-US"/>
        </w:rPr>
        <w:lastRenderedPageBreak/>
        <w:t>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2E5A97ED" w14:textId="77777777" w:rsidR="00DC0ACA" w:rsidRDefault="00DC0ACA" w:rsidP="002027ED">
      <w:pPr>
        <w:pStyle w:val="F2-zkladn"/>
        <w:rPr>
          <w:b/>
          <w:bCs/>
        </w:rPr>
      </w:pPr>
    </w:p>
    <w:p w14:paraId="129A4442" w14:textId="6F4B921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lastRenderedPageBreak/>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55030B3D" w14:textId="77777777" w:rsidR="00D8102F" w:rsidRPr="00D8102F" w:rsidRDefault="00D8102F" w:rsidP="00D8102F">
      <w:r w:rsidRPr="00D8102F">
        <w:t>MKAT11728</w:t>
      </w:r>
    </w:p>
    <w:p w14:paraId="7FB46F8E" w14:textId="1443917B" w:rsidR="00511B34" w:rsidRDefault="00511B34" w:rsidP="00386215">
      <w:pPr>
        <w:pStyle w:val="F2-zkladn"/>
      </w:pPr>
    </w:p>
    <w:sectPr w:rsidR="00511B34" w:rsidSect="002F1160">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FDA0" w14:textId="77777777" w:rsidR="005400A5" w:rsidRDefault="005400A5">
      <w:r>
        <w:separator/>
      </w:r>
    </w:p>
  </w:endnote>
  <w:endnote w:type="continuationSeparator" w:id="0">
    <w:p w14:paraId="25FC1C3B" w14:textId="77777777" w:rsidR="005400A5" w:rsidRDefault="0054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3A618" w14:textId="77777777" w:rsidR="005400A5" w:rsidRDefault="005400A5">
      <w:r>
        <w:separator/>
      </w:r>
    </w:p>
  </w:footnote>
  <w:footnote w:type="continuationSeparator" w:id="0">
    <w:p w14:paraId="417C6D8B" w14:textId="77777777" w:rsidR="005400A5" w:rsidRDefault="005400A5">
      <w:r>
        <w:continuationSeparator/>
      </w:r>
    </w:p>
  </w:footnote>
  <w:footnote w:type="continuationNotice" w:id="1">
    <w:p w14:paraId="0F4C0BD1" w14:textId="77777777" w:rsidR="005400A5" w:rsidRDefault="005400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1B3"/>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282"/>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0D7"/>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4AB"/>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2"/>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11C7"/>
    <w:rsid w:val="002D22C6"/>
    <w:rsid w:val="002D28A9"/>
    <w:rsid w:val="002D7CBC"/>
    <w:rsid w:val="002E3325"/>
    <w:rsid w:val="002E497E"/>
    <w:rsid w:val="002E76D1"/>
    <w:rsid w:val="002F0500"/>
    <w:rsid w:val="002F1160"/>
    <w:rsid w:val="002F7A8F"/>
    <w:rsid w:val="00301881"/>
    <w:rsid w:val="00302961"/>
    <w:rsid w:val="00303102"/>
    <w:rsid w:val="00307253"/>
    <w:rsid w:val="003078EB"/>
    <w:rsid w:val="00307E7E"/>
    <w:rsid w:val="00310E2F"/>
    <w:rsid w:val="00311AE0"/>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215"/>
    <w:rsid w:val="003866DC"/>
    <w:rsid w:val="003872AC"/>
    <w:rsid w:val="003900AC"/>
    <w:rsid w:val="00390999"/>
    <w:rsid w:val="003911D6"/>
    <w:rsid w:val="00391EEB"/>
    <w:rsid w:val="00394B7B"/>
    <w:rsid w:val="00395B87"/>
    <w:rsid w:val="00397E34"/>
    <w:rsid w:val="003A0565"/>
    <w:rsid w:val="003A0BB4"/>
    <w:rsid w:val="003A2CC7"/>
    <w:rsid w:val="003A415C"/>
    <w:rsid w:val="003A4774"/>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5035"/>
    <w:rsid w:val="004C5F47"/>
    <w:rsid w:val="004C7EA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1B34"/>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00A5"/>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099"/>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3FE9"/>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15AD"/>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35B"/>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166"/>
    <w:rsid w:val="00850650"/>
    <w:rsid w:val="00851E91"/>
    <w:rsid w:val="008524C4"/>
    <w:rsid w:val="0085268C"/>
    <w:rsid w:val="00854ABD"/>
    <w:rsid w:val="00856ED6"/>
    <w:rsid w:val="00861070"/>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3B41"/>
    <w:rsid w:val="008874FC"/>
    <w:rsid w:val="0088798F"/>
    <w:rsid w:val="00890B69"/>
    <w:rsid w:val="0089248A"/>
    <w:rsid w:val="008933DC"/>
    <w:rsid w:val="008936B3"/>
    <w:rsid w:val="00893890"/>
    <w:rsid w:val="00894515"/>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8F3B73"/>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A5D1F"/>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07A49"/>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5536"/>
    <w:rsid w:val="00A5613C"/>
    <w:rsid w:val="00A570EE"/>
    <w:rsid w:val="00A57C48"/>
    <w:rsid w:val="00A57EB2"/>
    <w:rsid w:val="00A608F5"/>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3DCF"/>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5D1E"/>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549F"/>
    <w:rsid w:val="00B46290"/>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2B5D"/>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02F"/>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0ACA"/>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1938"/>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C7A99"/>
    <w:rsid w:val="00ED086D"/>
    <w:rsid w:val="00ED0F0B"/>
    <w:rsid w:val="00ED2EBC"/>
    <w:rsid w:val="00ED4755"/>
    <w:rsid w:val="00ED584C"/>
    <w:rsid w:val="00ED7431"/>
    <w:rsid w:val="00EE2179"/>
    <w:rsid w:val="00EE2381"/>
    <w:rsid w:val="00EE3BFD"/>
    <w:rsid w:val="00EE5A58"/>
    <w:rsid w:val="00EE64AA"/>
    <w:rsid w:val="00EE77EC"/>
    <w:rsid w:val="00EF0CFD"/>
    <w:rsid w:val="00EF0E9B"/>
    <w:rsid w:val="00EF1BA6"/>
    <w:rsid w:val="00EF4866"/>
    <w:rsid w:val="00EF6708"/>
    <w:rsid w:val="00EF6DD7"/>
    <w:rsid w:val="00EF754F"/>
    <w:rsid w:val="00F004E9"/>
    <w:rsid w:val="00F0467A"/>
    <w:rsid w:val="00F0649C"/>
    <w:rsid w:val="00F07952"/>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48CA"/>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2.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4.xml><?xml version="1.0" encoding="utf-8"?>
<ds:datastoreItem xmlns:ds="http://schemas.openxmlformats.org/officeDocument/2006/customXml" ds:itemID="{6FF2901F-9299-4A9A-817D-EAA7280ADC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1313</Words>
  <Characters>7747</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9042</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2023-09-25T11:44:00Z</dcterms:created>
  <dcterms:modified xsi:type="dcterms:W3CDTF">2023-09-25T11:44:00Z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